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221 vom 27. Juli 1990</w:t>
      </w:r>
    </w:p>
    <w:p>
      <w:r>
        <w:t>Bundesgericht (BGE), 1990-07-27, DE</w:t>
      </w:r>
    </w:p>
    <w:p>
      <w:r>
        <w:rPr>
          <w:b/>
        </w:rPr>
        <w:t xml:space="preserve">Quelle: </w:t>
      </w:r>
      <w:r>
        <w:t>https://mcp.opencaselaw.ch/entscheid/bge_116 IA 221</w:t>
      </w:r>
    </w:p>
    <w:p>
      <w:r>
        <w:t>FR: BGE 116 IA 221 du 27 juillet 1990</w:t>
      </w:r>
    </w:p>
    <w:p>
      <w:r>
        <w:t>IT: BGE 116 IA 221 del 27 luglio 1990</w:t>
      </w:r>
    </w:p>
    <w:p>
      <w:pPr>
        <w:pStyle w:val="Heading2"/>
      </w:pPr>
      <w:r>
        <w:t>Regeste</w:t>
      </w:r>
    </w:p>
    <w:p>
      <w:r>
        <w:t>Regeste Zonenplanung (Art. 15 RPG); Gemeindeautonomie, Eigentumsgarantie und Art. 4 BV. 1. Verfahren: Zulässigkeit der staatsrechtlichen Beschwerde einer Gemeinde, deren Zonenplan teilweise nicht genehmigt wurde (E. 1d). Private, die gleichzeitig wie die Gemeinde die teilweise Nichtgenehmigung des Zonenplans anfechten und diesbezüglich im wesentlichen die gleichen Fragen aufwerfen, sind ebenfalls zur Beschwerdeführung befugt (E. 1e). Parteistellung einer Beschwerdeführerin, die nach Einreichung der staatsrechtlichen Beschwerde ihr Grundstück verkauft hat (E. 1b). 2. Den Gemeinden des Kantons Solothurn steht auf dem Gebiet der Ortsplanung Autonomie zu (E. 2b). 3. Die generelle Ausrichtung der Bauzone auf die doppelte Einwohnerzahl einer Gemeinde ist mit dem Bundesrecht nicht vereinbar (E. 3b). 4. Zum Inhalt des Richtplans des Kantons Solothurn. Die Erschliessungsplanung ist auf die neue Nutzungsplanung auszurichten (E. 4a). 5. Nichtgenehmigung von Teilen eines kommunalen Zonenplans (E. 4d).</w:t>
      </w:r>
    </w:p>
    <w:p>
      <w:pPr>
        <w:pStyle w:val="Heading2"/>
      </w:pPr>
      <w:r>
        <w:t>Erwägungen</w:t>
      </w:r>
    </w:p>
    <w:p>
      <w:r>
        <w:rPr>
          <w:b/>
        </w:rPr>
        <w:t>E. 1</w:t>
      </w:r>
    </w:p>
    <w:p>
      <w:r>
        <w:t>b) Der Rechtsvertreter der Beschwerdeführer teilte dem Bundesgericht am 28. August 1989 mit, die Beschwerdeführerin X. habe das vom teilweisen Nichtgenehmigungsentscheid des Regierungsrats betroffene Grundstück an den früheren Eigentümer zurückverkauft. Ihre Beschwerde sei damit gegenstandslos. Durch den Grundstücksverkauf ist die Beschwerde von X. indessen nach der Praxis des Bundesgerichts nicht gegenstandslos geworden. Das OG enthält keine Bestimmungen über die Folgen, welche die Veräusserung des Streitgegenstands durch eine Beschwerdepartei auf das Beschwerdeverfahren hat. Es ist deshalb gemäss Art. 40 OG auf die Regeln des Bundeszivilprozesses zurückzugreifen. Laut Art. 21 BZP ist die Veränderung der im Streit liegenden Sache ohne Einfluss auf die Legitimation in der Sache. Ein Parteiwechsel ist nur mit Zustimmung der Gegenpartei zulässig ( Art. 17 Abs. 1 BZP ). Dies gilt auch im Fall der Veräusserung der im Streit liegenden Sache. Fehlt - wie hier - die erforderliche Vereinbarung, wird der Prozess nicht gegenstandslos, sondern im Namen der ursprünglichen Beschwerdeführerin fortgesetzt (vgl. BGE 98 Ib 371 ; ZBl 80/1979 S. 481 E. 3a; FRITZ GYGI, Bundesverwaltungsrechtspflege, 2. Aufl., Bern 1983, S. 182; WALTER KÄLIN, Das Verfahren der staatsrechtlichen Beschwerde, Bern 1984, S. 220). Die Gegenstandslosigkeit wäre allerdings eingetreten, wenn X. ihre Beschwerde zurückgezogen hätte (WALTER KÄLIN, a.a.O., S. 220). Im erwähnten Brief ihres Vertreters vom 28. August 1989 wurde indessen kein Beschwerderückzug erklärt, so dass X. weiterhin als Beschwerdeführerin zu betrachten ist. BGE 116 Ia 221 S. 224 c) Die Einwohnergemeinde Kappel macht geltend, insoweit der Regierungsrat im angefochtenen Entscheid ihre Ortsplanungsrevision nicht genehmige, verletze er die Gemeindeautonomie. Im Zusammenhang mit dem Vorwurf der Autonomieverletzung rügt die Gemeinde auch einen Verstoss gegen Art. 4 BV durch eine willkürliche Anwendung des kantonalen Rechts. Schliesslich wird in der Beschwerde die Auffassung vertreten, der angefochtene Entscheid verletze die Eigentumsgarantie ( Art. 22ter BV ). Die "Auszonungen" würden schwerwiegende Eingriffe in dieses Grundrecht darstellen und seien nur aufgrund eines hinreichenden öffentlichen Interesses zulässig. Der angefochtene Nichtgenehmigungsentscheid trifft die Einwohnergemeinde Kappel in ihrer Eigenschaft als Trägerin hoheitlicher Gewalt. Sie ist daher berechtigt, mit staatsrechtlicher Beschwerde eine Verletzung ihrer Autonomie zu rügen. Ob ihr im betreffenden Bereich tatsächlich Autonomie zusteht, ist keine Frage der Legitimation, sondern Gegenstand der materiellen Beurteilung ( BGE 114 Ia 76 E. 1, 81 E. 1a; BGE 113 Ia 202 E. 1a, je mit Hinweisen). Die Gemeinde kann neben der Verletzung ihrer Autonomie auch einen Verstoss gegen das Willkürverbot ( Art. 4 BV ) geltend machen, wenn diese Rüge mit jener der Verletzung der Gemeindeautonomie eng zusammenhängt ( BGE 113 Ia 333 E. 1b, 110 Ia 51, je mit Hinweis). d) Der angefochtene Entscheid ist teilweise ein Rückweisungsentscheid und insofern ein Zwischenentscheid, der das umstrittene Ortsplanungsverfahren nicht abschliesst.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bewirken ( Art. 86 OG ). Werden neben der Verletzung von Art. 4 BV noch weitere Beschwerdegründe vorgebracht, so tritt das Bundesgericht auf die Beschwerde in vollem Umfang ein, allerdings nur dann, wenn die neben der Verletzung von Art. 4 BV geltend gemachten Verfassungsrügen nicht mit der Willkürrüge zusammenfallen, somit selbständige Bedeutung haben und nicht offensichtlich unzulässig oder unbegründet sind ( BGE 115 Ia 314 E. 2b mit Hinweisen). BGE 116 Ia 221 S. 225 aa) Die Gemeinde beruft sich im vorliegenden Fall auf den verfassungsrechtlichen Schutz der Gemeindeautonomie und macht geltend, die Anwendung des eidgenössischen und kantonalen Planungsrechts durch den Regierungsrat sei unhaltbar. Das Bundesgericht prüft diese Rüge auf Willkür ( Art. 4 BV ) hin, da hier nicht die Auslegung oder Anwendung von Verfassungsrecht in Frage steht (vgl. hinten E. 2a). Insoweit fällt die Rüge der Verletzung der Gemeindeautonomie mit der Rüge wegen Verletzung von Art. 4 BV zusammen und hat keine selbständige Bedeutung ( BGE 116 Ib 43 f. E. 1b, 115 Ia 314 E. 2b, BGE 114 Ia 78 f. E. 3b, BGE 106 Ia 227 E. 1). Unter diesen Umständen ist zu prüfen, ob der angefochtene Entscheid für die Gemeinde einen nicht wiedergutzumachenden Nachteil zur Folge hat ( Art. 87 OG ). Nach der Praxis des Bundesgerichts kann ein nicht wiedergutzumachender Nachteil für eine Gemeinde dann vorliegen, wenn sie verpflichtet wird, im Sinne des Entscheids der kantonalen Behörde direkt eine neue, ihrer Auffassung widersprechende Anordnung zu treffen. Im Kanton Solothurn besteht im Verfahren der Ortsplanung nur eine einzige Rekursinstanz (Regierungsrat). Der Rückweisungsentscheid trifft die Gemeinde derart, dass sie gezwungen wäre, entgegen ihrer Rechtsauffassung der Weisung des Regierungsrats Folge zu leisten. Würde auf die Beschwerde nicht eingetreten, so wäre es der Gemeinde in der vorliegenden Angelegenheit verwehrt, sich je über eine Verletzung ihrer Autonomie vor Bundesgericht zu beschweren. Die Beschwerde der Gemeinde ist deshalb zulässig (vgl. BGE 116 Ia 44 E. 1b mit zahlreichen Hinweisen und nicht publizierten Entscheid vom 13. September 1989 i.S. Gemeinde Flims E. 1b). bb) Die Rüge der privaten Beschwerdeführer, der Regierungsrat habe mit dem angefochtenen Entscheid die Eigentumsgarantie verletzt, hat selbständige, über die Rüge der Verletzung des Willkürverbots ( Art. 4 BV ) hinausgehende Bedeutung, da das Bundesgericht grundsätzlich frei prüft, ob die angefochtenen Planungsmassnahmen durch das von der Verfassung geforderte überwiegende öffentliche Interesse gedeckt sind ( BGE 114 Ia 243 E. 4, 338 E. 2a, je mit Hinweisen). Dass die Berufung auf Art. 22ter BV bei der gegebenen Sachlage offensichtlich unbegründet sei, lässt sich nicht von vornherein sagen. Die gegen den letztinstanzlichen Rückweisungsentscheid des Regierungsrats eingereichte staatsrechtliche Beschwerde der privaten Grundeigentümer ist daher BGE 116 Ia 221 S. 226 gestützt auf Art. 86 Abs. 2 OG zulässig (nicht publizierte Erwägung 3 von BGE 115 Ia 345 ). e) Die privaten Beschwerdeführer waren im Zeitpunkt der teilweisen Nichtgenehmigung der Ortsplanung Kappel durch den Regierungsrat Grundeigentümer im Gebiet Bohlacker, welches nach Auffassung des Regierungsrats nicht zur Bauzone geschlagen werden soll. Hinsichtlich ihrer Legitimation zur staatsrechtlichen Beschwerde ( Art. 88 OG ) ist zu beachten, dass noch keine definitiven, ihr Eigentum betreffende Beschränkungen erlassen wurden und damit fraglich ist, ob sie vom angefochtenen Entscheid in ihren rechtlich geschützten Interessen betroffen sind. Eine definitive Eigentumsbeschränkung aufgrund einer Nutzungsplanungsmassnahme erfolgt im Hinblick auf Art. 26 Abs. 1 RPG erst, wenn diese vom Regierungsrat genehmigt worden ist. Das ist hier in bezug auf die umstrittenen Gebiete noch nicht geschehen. Mit der Behandlung der Autonomiebeschwerde der Gemeinde wird indessen bezüglich der Dimensionierung der Bauzone weitgehend über dieselben materiellen Fragen entschieden, die auch die privaten Beschwerdeführer in ihrer staatsrechtlichen Beschwerde aufwerfen. Der angefochtene Entscheid berührt somit auch die privaten Grundeigentümer in ihren rechtlich geschützten Interessen, soweit er aufgrund der Beschwerde der Gemeinde vom Bundesgericht zu überprüfen ist. Schon aus diesem Grund sowie auch aus Gründen der Prozessökonomie ist die Beschwerde der privaten Beschwerdeführer gleichzeitig mit jener der Gemeinde zu behandeln. Sie werfen dem Regierungsrat vor, er habe im angefochtenen Entscheid die Eigentumsgarantie ( Art. 22ter BV ) und Art. 4 BV verletzt und machen hilfsweise eine Verletzung der Gemeindeautonomie geltend, was nach der Praxis zulässig ist ( BGE 114 Ia 292 E. 3a mit Hinweisen).</w:t>
      </w:r>
    </w:p>
    <w:p>
      <w:r>
        <w:rPr>
          <w:b/>
        </w:rPr>
        <w:t>E. 2</w:t>
      </w:r>
    </w:p>
    <w:p>
      <w:r>
        <w:t>a) (Hinweis auf BGE 114 Ia 372 E. 2a mit Zitaten.) b) Mit dem angefochtenen Entscheid hat der Regierungsrat im Genehmigungsverfahren die von der Einwohnergemeinde Kappel beschlossene Ortsplanungsrevision teilweise nicht genehmigt. Aufgrund der §§ 9 ff. des Baugesetzes des Kantons Solothurn vom 3. Dezember 1978 (BauG) steht den Gemeinden des Kantons Solothurn auf dem Gebiet der Ortsplanung Autonomie zu. Dies wird vom Regierungsrat denn auch zu Recht nicht bestritten. c) Wann eine Gemeinde durch den Entscheid einer kantonalen Rechtsmittelbehörde in ihrer Autonomie verletzt ist, hängt vom Umfang der Überprüfungsbefugnis der kantonalen Instanz ab BGE 116 Ia 221 S. 227 ( BGE 113 Ia 194 E. 2d). Nach § 18 Abs. 1 BauG sind die Nutzungspläne durch den Regierungsrat zu genehmigen. Der Regierungsrat entscheidet über die Beschwerden, überprüft die Pläne auf ihre Recht- und Zweckmässigkeit und auf die Übereinstimmung mit den kantonalen und regionalen Plänen. Pläne, die rechtswidrig oder offensichtlich unzweckmässig sind, und Pläne, die übergeordneten Planungen widersprechen, weist er an die Gemeinde zurück (§ 18 Abs. 2 BauG). Der Regierungsrat kann allfällige Änderungen selbst beschliessen, wenn deren Inhalt eindeutig bestimmbar ist und die Änderungen der Behebung offensichtlicher Mängel oder Planungsfehler dienen (§ 18 Abs. 3 BauG). Gemäss § 133 Abs. 1 BauG können die Gemeinden in einem Reglement eigene Vorschriften erlassen, soweit sie dem kantonalen Baureglement nicht widersprechen. Solche Vorschriften bedürfen der Genehmigung durch den Regierungsrat, der sie auf die Recht- und Zweckmässigkeit überprüft (§ 133 Abs. 3 BauG). Im Hinblick auf diese Vorschriften kann die Gemeinde eine Verletzung ihrer Autonomie nur dann mit Erfolg geltend machen, wenn der Eingriff des Regierungsrats in die kommunale Gestaltungsfreiheit sich nicht mit vernünftigen, sachlichen Gründen vertreten lässt. Auch darf der Regierungsrat nicht einfach das Ermessen der Gemeinde durch sein eigenes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diese mit den gesetzlichen Anforderungen in Übereinstimmung zu bringen, so kann sich die Gemeinde nicht mit Erfolg über eine Verletzung ihrer Autonomie beklagen ( BGE 113 Ia 194 f. E. 2d; BGE 112 Ia 284 E. 3d, BGE 111 Ia 70 E. 3d, je mit Hinweisen; Urteil vom 12. Februar 1986 in ZBl 88/1987, S. 131 f., E. 3c).</w:t>
      </w:r>
    </w:p>
    <w:p>
      <w:r>
        <w:rPr>
          <w:b/>
        </w:rPr>
        <w:t>E. 3</w:t>
      </w:r>
    </w:p>
    <w:p>
      <w:r>
        <w:t>Die Gemeinde hält das Argument des Regierungsrats für unzutreffend, wonach der Nichtgenehmigungsentscheid BGE 116 Ia 221 S. 228 namentlich zur Verhinderung einer übergrossen, den Anforderungen von Art. 15 RPG nicht entsprechenden Bauzone rechtlich geboten sei, und sie erblickt darin eine Verletzung ihrer Autonomie. a) Der Regierungsrat führt dazu im angefochtenen Entscheid im wesentlichen aus, dass das Gesetz (RPG und BauG) die zulässige Grösse einer Bauzone bestimme. Diese habe nach § 26 BauG jenes Land zu umfassen, das bereits weitgehend überbaut und erschlossen sei oder das nach objektiven Planungsgrundsätzen in absehbarer Zeit - Art. 15 RPG lege 15 Jahre fest - für eine geordnete Besiedlung benötigt werde und auch erschlossen werden könne. Zur Konkretisierung dieser Bestimmungen sei der Planungsgrundsatz des Faktors 2 aufgestellt und in den kantonalen Richtplan über die Besiedlung und Landschaft von 1982 aufgenommen worden. Nach diesem Grundsatz dürfe die Bauzone höchstens so gross bemessen sein, dass sie, gesamthaft gesehen, der doppelten heutigen Einwohnerzahl einer Gemeinde Platz biete. Dieser Faktor 2 stelle eine alleroberste, allen Eventualitäten Rechnung tragende Grenze dar, damit die Bauzonengrösse den gesetzlichen Anforderungen noch genügen könne. Eine Bauzone, welche über diese maximale Grösse hinausgehe, sei nicht nur unzweckmässig, sondern gesetzwidrig. Die Berechnung des Fassungsvermögens der Bauzone von Kappel habe ergeben, dass Faktor 2 deutlich überschritten sei (Faktor ca. 2,2). Das Fassungsvermögen der Bauzone sei somit um ca. 300 Einwohner zu gross. Die Gemeinde halte diese Berechnung des Fassungsvermögens indessen für unrichtig. Sie berufe sich dabei auf eine Zusicherung des damaligen Kreisplaners, wonach in der Wohnzone W3 ein Splitting der Ausnützungsziffer zulässig sei, um dem Umstand Rechnung zu tragen, dass grössere Teile der Wohnzone W3 lediglich mit zweigeschossigen Bauten genutzt würden. Der Einwohnerwert für die Wohnzone W3 müsse gemäss dieser Absprache mit 100 E./ha angenommen werden und nicht wie üblich mit 120 E./ha. Bei Berücksichtigung dieser Argumente wäre Faktor 2 eingehalten. Dazu erklärt der Regierungsrat im angefochtenen Entscheid, die Ermittlung des Fassungsvermögens der Bauzone erfolge in ständiger Praxis nach einer genau definierten Methode, welche für alle Gemeinden des Kantons in gleichem Masse Gültigkeit besitze. Nur durch eine exakt definierte Methode sei eine gleichwertige Behandlung verschiedener Ortsplanungen gewährleistet. Die Einwohnerdichtewerte für die verschiedenen Nutzungszonen würden hierbei gemäss der Richtlinie "Quartierplananalysen" (= Richtlinie BGE 116 Ia 221 S. 229 zur Ortsplanung, ARP, Oktober 1977) festgelegt. Entgegen der offenbar gemachten Zusicherung des zuständigen Kreisplaners sei ein Splitting der Ausnützungsziffer in nicht voll ausgenützten Wohnzonen unzulässig. Auch die damit verbundene Herabsetzung der massgeblichen Einwohnerdichtewerte lasse sich nicht rechtfertigen, da der Kanton bei seinen Berechnungen stets von der Annahme voll ausgenützter Nutzungszonen ausgehe. Dem vorliegenden Problem der "Unternutzung" von Wohnzonen werde nämlich insofern bereits Rechnung getragen, als der Grenzwert von Faktor 2 bewusst hoch angesetzt worden sei. Der Regierungsrat ist der Auffassung, dass die Zusicherung eines Kreisplaners die Genehmigungsinstanz an sich nicht zu binden vermöge. Die von der Gemeinde geltend gemachten Einwände seien sachlich nicht haltbar, da die spezielle Berechnungsart eine Ausnahme darstellen würde und damit eine Rechtsungleichheit gegenüber anderen Gemeinden entstünde. Gleichzeitig sei jedoch zu beachten, dass die Gemeinde sich während der gesamten Planungsphase auf diese Zusicherung verlassen habe und deshalb eine Zurückweisung der Planung gemäss § 18 Abs. 2 BauG gegen Treu und Glauben verstossen würde. Aus diesem Grund hat sich der Regierungsrat bei der Überprüfung der Zweckmässigkeit der Zonenabgrenzung auf diejenigen Gebiete beschränkt, welche neben einer allgemeinen Eignung zur Auszonung (geringer Erschliessungsgrad, periphere Lage, landwirtschaftliche Eignung) vor allem auch aus ortsbild- und landschaftsschützerischen Gründen bzw. aus Gründen der überörtlichen Planung problematisch seien. Es handelt sich dabei um die drei folgenden Gebiete: a) Einfamilienhauszone E2: "Bohlacker", Parzellen GB Nrn. 666, 668-671, 680, 681, 703, 704, 968, 1583 b) Wohnzone W2OSCH und Reservegebiet: "Unterdorf", Parzellen GB Nrn. 28, 270-272, 280-282, 284, 290, 291, 293 c) Industrie-Reservegebiet: "Höchimatten", Parzellen GB Nrn. 476, 479, 491-495, 498, 500, 501, 503, 504, 1153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